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2C" w:rsidRPr="00155F2C" w:rsidRDefault="00155F2C">
      <w:pPr>
        <w:pStyle w:val="newncpi"/>
        <w:ind w:firstLine="0"/>
        <w:jc w:val="center"/>
        <w:rPr>
          <w:lang w:val="ru-RU"/>
        </w:rPr>
      </w:pPr>
      <w:r w:rsidRPr="00155F2C">
        <w:rPr>
          <w:rStyle w:val="name"/>
          <w:lang w:val="ru-RU"/>
        </w:rPr>
        <w:t xml:space="preserve">УКАЗ </w:t>
      </w:r>
      <w:r w:rsidRPr="00155F2C">
        <w:rPr>
          <w:rStyle w:val="promulgator"/>
          <w:lang w:val="ru-RU"/>
        </w:rPr>
        <w:t>ПРЕЗИДЕНТА РЕСПУБЛИКИ БЕЛАРУСЬ</w:t>
      </w:r>
    </w:p>
    <w:p w:rsidR="00155F2C" w:rsidRPr="00155F2C" w:rsidRDefault="00155F2C">
      <w:pPr>
        <w:pStyle w:val="newncpi"/>
        <w:ind w:firstLine="0"/>
        <w:jc w:val="center"/>
        <w:rPr>
          <w:lang w:val="ru-RU"/>
        </w:rPr>
      </w:pPr>
      <w:r w:rsidRPr="00155F2C">
        <w:rPr>
          <w:rStyle w:val="datepr"/>
          <w:lang w:val="ru-RU"/>
        </w:rPr>
        <w:t>7 февраля 2006 г.</w:t>
      </w:r>
      <w:r w:rsidRPr="00155F2C">
        <w:rPr>
          <w:rStyle w:val="number"/>
          <w:lang w:val="ru-RU"/>
        </w:rPr>
        <w:t xml:space="preserve"> № 75</w:t>
      </w:r>
    </w:p>
    <w:p w:rsidR="00155F2C" w:rsidRPr="00155F2C" w:rsidRDefault="00155F2C">
      <w:pPr>
        <w:pStyle w:val="title"/>
        <w:rPr>
          <w:lang w:val="ru-RU"/>
        </w:rPr>
      </w:pPr>
      <w:r w:rsidRPr="00155F2C">
        <w:rPr>
          <w:lang w:val="ru-RU"/>
        </w:rPr>
        <w:t>О предоставлении гражданам, постоянно проживающим и работающим в населенных пунктах с численностью населения до 20 тыс.</w:t>
      </w:r>
      <w:r>
        <w:t> </w:t>
      </w:r>
      <w:r w:rsidRPr="00155F2C">
        <w:rPr>
          <w:lang w:val="ru-RU"/>
        </w:rPr>
        <w:t>человек,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</w:t>
      </w:r>
    </w:p>
    <w:p w:rsidR="00155F2C" w:rsidRPr="00155F2C" w:rsidRDefault="00155F2C">
      <w:pPr>
        <w:pStyle w:val="changei"/>
        <w:rPr>
          <w:lang w:val="ru-RU"/>
        </w:rPr>
      </w:pPr>
      <w:r w:rsidRPr="00155F2C">
        <w:rPr>
          <w:lang w:val="ru-RU"/>
        </w:rPr>
        <w:t>Изменения и дополнения:</w:t>
      </w:r>
    </w:p>
    <w:p w:rsidR="00155F2C" w:rsidRPr="00155F2C" w:rsidRDefault="00155F2C">
      <w:pPr>
        <w:pStyle w:val="changeadd"/>
        <w:rPr>
          <w:lang w:val="ru-RU"/>
        </w:rPr>
      </w:pPr>
      <w:r w:rsidRPr="00155F2C">
        <w:rPr>
          <w:lang w:val="ru-RU"/>
        </w:rPr>
        <w:t>Указ Президента Республики Беларусь от 29 мая 2007</w:t>
      </w:r>
      <w:r>
        <w:t> </w:t>
      </w:r>
      <w:r w:rsidRPr="00155F2C">
        <w:rPr>
          <w:lang w:val="ru-RU"/>
        </w:rPr>
        <w:t>г. №</w:t>
      </w:r>
      <w:r>
        <w:t> </w:t>
      </w:r>
      <w:r w:rsidRPr="00155F2C">
        <w:rPr>
          <w:lang w:val="ru-RU"/>
        </w:rPr>
        <w:t>243 (Национальный реестр правовых актов Республики Беларусь, 2007</w:t>
      </w:r>
      <w:r>
        <w:t> </w:t>
      </w:r>
      <w:r w:rsidRPr="00155F2C">
        <w:rPr>
          <w:lang w:val="ru-RU"/>
        </w:rPr>
        <w:t>г., №</w:t>
      </w:r>
      <w:r>
        <w:t> </w:t>
      </w:r>
      <w:r w:rsidRPr="00155F2C">
        <w:rPr>
          <w:lang w:val="ru-RU"/>
        </w:rPr>
        <w:t>132, 1/8610) &lt;</w:t>
      </w:r>
      <w:r>
        <w:t>P</w:t>
      </w:r>
      <w:r w:rsidRPr="00155F2C">
        <w:rPr>
          <w:lang w:val="ru-RU"/>
        </w:rPr>
        <w:t>30700243&gt;;</w:t>
      </w:r>
    </w:p>
    <w:p w:rsidR="00155F2C" w:rsidRPr="00155F2C" w:rsidRDefault="00155F2C">
      <w:pPr>
        <w:pStyle w:val="changeadd"/>
        <w:rPr>
          <w:lang w:val="ru-RU"/>
        </w:rPr>
      </w:pPr>
      <w:r w:rsidRPr="00155F2C">
        <w:rPr>
          <w:lang w:val="ru-RU"/>
        </w:rPr>
        <w:t>Указ Президента Республики Беларусь от 17 декабря 2009</w:t>
      </w:r>
      <w:r>
        <w:t> </w:t>
      </w:r>
      <w:r w:rsidRPr="00155F2C">
        <w:rPr>
          <w:lang w:val="ru-RU"/>
        </w:rPr>
        <w:t>г. №</w:t>
      </w:r>
      <w:r>
        <w:t> </w:t>
      </w:r>
      <w:r w:rsidRPr="00155F2C">
        <w:rPr>
          <w:lang w:val="ru-RU"/>
        </w:rPr>
        <w:t>637 (Национальный реестр правовых актов Республики Беларусь, 2009 г., №</w:t>
      </w:r>
      <w:r>
        <w:t> </w:t>
      </w:r>
      <w:r w:rsidRPr="00155F2C">
        <w:rPr>
          <w:lang w:val="ru-RU"/>
        </w:rPr>
        <w:t>304, 1/11223) &lt;</w:t>
      </w:r>
      <w:r>
        <w:t>P</w:t>
      </w:r>
      <w:r w:rsidRPr="00155F2C">
        <w:rPr>
          <w:lang w:val="ru-RU"/>
        </w:rPr>
        <w:t>30900637&gt;;</w:t>
      </w:r>
    </w:p>
    <w:p w:rsidR="00155F2C" w:rsidRPr="00155F2C" w:rsidRDefault="00155F2C">
      <w:pPr>
        <w:pStyle w:val="changeadd"/>
        <w:rPr>
          <w:lang w:val="ru-RU"/>
        </w:rPr>
      </w:pPr>
      <w:r w:rsidRPr="00155F2C">
        <w:rPr>
          <w:lang w:val="ru-RU"/>
        </w:rPr>
        <w:t>Указ Президента Республики Беларусь от 15 апреля 2016</w:t>
      </w:r>
      <w:r>
        <w:t> </w:t>
      </w:r>
      <w:r w:rsidRPr="00155F2C">
        <w:rPr>
          <w:lang w:val="ru-RU"/>
        </w:rPr>
        <w:t>г. №</w:t>
      </w:r>
      <w:r>
        <w:t> </w:t>
      </w:r>
      <w:r w:rsidRPr="00155F2C">
        <w:rPr>
          <w:lang w:val="ru-RU"/>
        </w:rPr>
        <w:t>141 (Национальный правовой Интернет-портал Республики Беларусь, 19.04.2016, 1/16374) &lt;</w:t>
      </w:r>
      <w:r>
        <w:t>P</w:t>
      </w:r>
      <w:r w:rsidRPr="00155F2C">
        <w:rPr>
          <w:lang w:val="ru-RU"/>
        </w:rPr>
        <w:t>31600141&gt;;</w:t>
      </w:r>
    </w:p>
    <w:p w:rsidR="00155F2C" w:rsidRPr="00155F2C" w:rsidRDefault="00155F2C">
      <w:pPr>
        <w:pStyle w:val="changeadd"/>
        <w:rPr>
          <w:lang w:val="ru-RU"/>
        </w:rPr>
      </w:pPr>
      <w:r w:rsidRPr="00155F2C">
        <w:rPr>
          <w:lang w:val="ru-RU"/>
        </w:rPr>
        <w:t>Указ Президента Республики Беларусь от 28 октября 2021</w:t>
      </w:r>
      <w:r>
        <w:t> </w:t>
      </w:r>
      <w:r w:rsidRPr="00155F2C">
        <w:rPr>
          <w:lang w:val="ru-RU"/>
        </w:rPr>
        <w:t>г. №</w:t>
      </w:r>
      <w:r>
        <w:t> </w:t>
      </w:r>
      <w:r w:rsidRPr="00155F2C">
        <w:rPr>
          <w:lang w:val="ru-RU"/>
        </w:rPr>
        <w:t>424 (Национальный правовой Интернет-портал Республики Беларусь, 30.10.2021, 1/19980) &lt;</w:t>
      </w:r>
      <w:r>
        <w:t>P</w:t>
      </w:r>
      <w:r w:rsidRPr="00155F2C">
        <w:rPr>
          <w:lang w:val="ru-RU"/>
        </w:rPr>
        <w:t>32100424&gt;;</w:t>
      </w:r>
    </w:p>
    <w:p w:rsidR="00155F2C" w:rsidRPr="00155F2C" w:rsidRDefault="00155F2C">
      <w:pPr>
        <w:pStyle w:val="changeadd"/>
        <w:rPr>
          <w:lang w:val="ru-RU"/>
        </w:rPr>
      </w:pPr>
      <w:r w:rsidRPr="00155F2C">
        <w:rPr>
          <w:lang w:val="ru-RU"/>
        </w:rPr>
        <w:t>Указ Президента Республики Беларусь от 25 октября 2022</w:t>
      </w:r>
      <w:r>
        <w:t> </w:t>
      </w:r>
      <w:r w:rsidRPr="00155F2C">
        <w:rPr>
          <w:lang w:val="ru-RU"/>
        </w:rPr>
        <w:t>г. №</w:t>
      </w:r>
      <w:r>
        <w:t> </w:t>
      </w:r>
      <w:r w:rsidRPr="00155F2C">
        <w:rPr>
          <w:lang w:val="ru-RU"/>
        </w:rPr>
        <w:t>381 (Национальный правовой Интернет-портал Республики Беларусь, 03.11.2022, 1/20586) &lt;</w:t>
      </w:r>
      <w:r>
        <w:t>P</w:t>
      </w:r>
      <w:r w:rsidRPr="00155F2C">
        <w:rPr>
          <w:lang w:val="ru-RU"/>
        </w:rPr>
        <w:t>32200381&gt;</w:t>
      </w:r>
    </w:p>
    <w:p w:rsidR="00155F2C" w:rsidRPr="00155F2C" w:rsidRDefault="00155F2C">
      <w:pPr>
        <w:pStyle w:val="newncpi"/>
        <w:rPr>
          <w:lang w:val="ru-RU"/>
        </w:rPr>
      </w:pPr>
      <w:r>
        <w:t> 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В целях улучшения жилищных условий граждан, постоянно проживающих и работающих в населенных пунктах с численностью населения до 20 тыс.</w:t>
      </w:r>
      <w:r>
        <w:t> </w:t>
      </w:r>
      <w:r w:rsidRPr="00155F2C">
        <w:rPr>
          <w:lang w:val="ru-RU"/>
        </w:rPr>
        <w:t>человек, повышения уровня благоустройства жилых помещений, развития инженерной инфраструктуры в данных населенных пунктах:</w:t>
      </w:r>
    </w:p>
    <w:p w:rsidR="00155F2C" w:rsidRPr="00155F2C" w:rsidRDefault="00155F2C">
      <w:pPr>
        <w:pStyle w:val="point"/>
        <w:rPr>
          <w:lang w:val="ru-RU"/>
        </w:rPr>
      </w:pPr>
      <w:r w:rsidRPr="00155F2C">
        <w:rPr>
          <w:lang w:val="ru-RU"/>
        </w:rPr>
        <w:t>1.</w:t>
      </w:r>
      <w:r>
        <w:t> </w:t>
      </w:r>
      <w:r w:rsidRPr="00155F2C">
        <w:rPr>
          <w:lang w:val="ru-RU"/>
        </w:rPr>
        <w:t>Установить, что: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1.1.</w:t>
      </w:r>
      <w:r>
        <w:t> </w:t>
      </w:r>
      <w:r w:rsidRPr="00155F2C">
        <w:rPr>
          <w:lang w:val="ru-RU"/>
        </w:rPr>
        <w:t>льготные кредиты на капитальный ремонт и реконструкцию жилых помещений, строительство инженерных сетей, возведение хозяйственных помещений и построек (далее</w:t>
      </w:r>
      <w:r>
        <w:t> </w:t>
      </w:r>
      <w:r w:rsidRPr="00155F2C">
        <w:rPr>
          <w:lang w:val="ru-RU"/>
        </w:rPr>
        <w:t>– льготные кредиты) предоставляются открытым акционерным обществом «Сберегательный банк «Беларусбанк» собственникам жилых помещений (в том числе участникам долевой собственности)</w:t>
      </w:r>
      <w:r>
        <w:t> </w:t>
      </w:r>
      <w:r w:rsidRPr="00155F2C">
        <w:rPr>
          <w:lang w:val="ru-RU"/>
        </w:rPr>
        <w:t>– трудоспособным гражданам, постоянно проживающим и работающим в населенных пунктах с численностью населения до 20</w:t>
      </w:r>
      <w:r>
        <w:t> </w:t>
      </w:r>
      <w:r w:rsidRPr="00155F2C">
        <w:rPr>
          <w:lang w:val="ru-RU"/>
        </w:rPr>
        <w:t>тыс.</w:t>
      </w:r>
      <w:r>
        <w:t> </w:t>
      </w:r>
      <w:r w:rsidRPr="00155F2C">
        <w:rPr>
          <w:lang w:val="ru-RU"/>
        </w:rPr>
        <w:t>человек*, у которых среднемесячный совокупный доход на каждого члена семьи не превышает трехкратного среднемесячного бюджета прожиточного минимума для</w:t>
      </w:r>
      <w:r>
        <w:t> </w:t>
      </w:r>
      <w:r w:rsidRPr="00155F2C">
        <w:rPr>
          <w:lang w:val="ru-RU"/>
        </w:rPr>
        <w:t>трудоспособного населения, исчисленного за 12 месяцев, предшествующих месяцу подачи документов для включения этих граждан в списки на получение льготных кредитов. В случае, если собственники жилых помещений (в том числе участники долевой собственности) не осуществляют трудовую деятельность, то с их согласия льготные кредиты предоставляются совместно с ними проживающим членам их семей, отвечающим требованиям, установленным настоящим подпунктом.</w:t>
      </w:r>
    </w:p>
    <w:p w:rsidR="00155F2C" w:rsidRPr="00155F2C" w:rsidRDefault="00155F2C">
      <w:pPr>
        <w:pStyle w:val="snoskiline"/>
        <w:rPr>
          <w:lang w:val="ru-RU"/>
        </w:rPr>
      </w:pPr>
      <w:r w:rsidRPr="00155F2C">
        <w:rPr>
          <w:lang w:val="ru-RU"/>
        </w:rPr>
        <w:t>______________________________</w:t>
      </w:r>
      <w:bookmarkStart w:id="0" w:name="_GoBack"/>
      <w:bookmarkEnd w:id="0"/>
    </w:p>
    <w:p w:rsidR="00155F2C" w:rsidRPr="00155F2C" w:rsidRDefault="00155F2C">
      <w:pPr>
        <w:pStyle w:val="snoski"/>
        <w:spacing w:after="240"/>
        <w:rPr>
          <w:lang w:val="ru-RU"/>
        </w:rPr>
      </w:pPr>
      <w:r w:rsidRPr="00155F2C">
        <w:rPr>
          <w:lang w:val="ru-RU"/>
        </w:rPr>
        <w:lastRenderedPageBreak/>
        <w:t>*</w:t>
      </w:r>
      <w:r>
        <w:t> </w:t>
      </w:r>
      <w:r w:rsidRPr="00155F2C">
        <w:rPr>
          <w:lang w:val="ru-RU"/>
        </w:rPr>
        <w:t>Для целей настоящего Указа численность населения определяется на основании официальной статистической информации, имеющейся на дату утверждения списков на получение льготных кредитов.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Льготный кредит может быть предоставлен только одному из граждан</w:t>
      </w:r>
      <w:r>
        <w:t> </w:t>
      </w:r>
      <w:r w:rsidRPr="00155F2C">
        <w:rPr>
          <w:lang w:val="ru-RU"/>
        </w:rPr>
        <w:t>– участников долевой собственности (в случае, если гражданин</w:t>
      </w:r>
      <w:r>
        <w:t> </w:t>
      </w:r>
      <w:r w:rsidRPr="00155F2C">
        <w:rPr>
          <w:lang w:val="ru-RU"/>
        </w:rPr>
        <w:t>– участник долевой собственности не осуществляет трудовую деятельность,</w:t>
      </w:r>
      <w:r>
        <w:t> </w:t>
      </w:r>
      <w:r w:rsidRPr="00155F2C">
        <w:rPr>
          <w:lang w:val="ru-RU"/>
        </w:rPr>
        <w:t>– с его согласия совместно проживающему с ним члену его семьи) на жилое помещение в целом при условии согласия всех граждан</w:t>
      </w:r>
      <w:r>
        <w:t> </w:t>
      </w:r>
      <w:r w:rsidRPr="00155F2C">
        <w:rPr>
          <w:lang w:val="ru-RU"/>
        </w:rPr>
        <w:t>– участников долевой собственности на выполнение работ, предусмотренных настоящим Указом, с привлечением льготного кредита. При этом у остальных граждан</w:t>
      </w:r>
      <w:r>
        <w:t> </w:t>
      </w:r>
      <w:r w:rsidRPr="00155F2C">
        <w:rPr>
          <w:lang w:val="ru-RU"/>
        </w:rPr>
        <w:t>– участников долевой собственности среднемесячный совокупный доход на каждого члена семьи не должен превышать трехкратного среднемесячного бюджета прожиточного минимума для</w:t>
      </w:r>
      <w:r>
        <w:t> </w:t>
      </w:r>
      <w:r w:rsidRPr="00155F2C">
        <w:rPr>
          <w:lang w:val="ru-RU"/>
        </w:rPr>
        <w:t>трудоспособного населения, исчисленного за 12 месяцев, предшествующих месяцу подачи документов для включения гражданина</w:t>
      </w:r>
      <w:r>
        <w:t> </w:t>
      </w:r>
      <w:r w:rsidRPr="00155F2C">
        <w:rPr>
          <w:lang w:val="ru-RU"/>
        </w:rPr>
        <w:t>– участника долевой собственности в списки на получение льготного кредита.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Иностранные граждане и лица без гражданства, постоянно проживающие на территории Республики Беларусь в населенных пунктах с численностью населения до 20 тыс.</w:t>
      </w:r>
      <w:r>
        <w:t> </w:t>
      </w:r>
      <w:r w:rsidRPr="00155F2C">
        <w:rPr>
          <w:lang w:val="ru-RU"/>
        </w:rPr>
        <w:t>человек и работающие в данных населенных пунктах, пользуются правом на получение льготных кредитов наравне с гражданами Республики Беларусь;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1.2.</w:t>
      </w:r>
      <w:r>
        <w:t> </w:t>
      </w:r>
      <w:r w:rsidRPr="00155F2C">
        <w:rPr>
          <w:lang w:val="ru-RU"/>
        </w:rPr>
        <w:t>для целей настоящего Указа применяются следующие термины и их определения: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граждане, постоянно проживающие и работающие в населенных пунктах с численностью населения до 20</w:t>
      </w:r>
      <w:r>
        <w:t> </w:t>
      </w:r>
      <w:r w:rsidRPr="00155F2C">
        <w:rPr>
          <w:lang w:val="ru-RU"/>
        </w:rPr>
        <w:t>тыс.</w:t>
      </w:r>
      <w:r>
        <w:t> </w:t>
      </w:r>
      <w:r w:rsidRPr="00155F2C">
        <w:rPr>
          <w:lang w:val="ru-RU"/>
        </w:rPr>
        <w:t>человек,</w:t>
      </w:r>
      <w:r>
        <w:t> </w:t>
      </w:r>
      <w:r w:rsidRPr="00155F2C">
        <w:rPr>
          <w:lang w:val="ru-RU"/>
        </w:rPr>
        <w:t>– граждане, зарегистрированные по месту жительства в населенных пунктах с численностью населения до 20</w:t>
      </w:r>
      <w:r>
        <w:t> </w:t>
      </w:r>
      <w:r w:rsidRPr="00155F2C">
        <w:rPr>
          <w:lang w:val="ru-RU"/>
        </w:rPr>
        <w:t>тыс.</w:t>
      </w:r>
      <w:r>
        <w:t> </w:t>
      </w:r>
      <w:r w:rsidRPr="00155F2C">
        <w:rPr>
          <w:lang w:val="ru-RU"/>
        </w:rPr>
        <w:t>человек и работающие по трудовым договорам в организациях, обособленных подразделениях организаций и их структурных подразделениях, расположенных в таких населенных пунктах (работающие в должности приемных родителей (родителей-воспитателей детских домов семейного типа) в соответствии с трудовыми договорами по месту жительства приемной семьи (месторасположению детских домов семейного типа) в таких населенных пунктах), в том числе граждане, получающие пособия по уходу за ребенком в возрасте до трех лет, с которыми заключены трудовые договоры, а также граждане, зарегистрированные по месту жительства в населенных пунктах с численностью населения до 20</w:t>
      </w:r>
      <w:r>
        <w:t> </w:t>
      </w:r>
      <w:r w:rsidRPr="00155F2C">
        <w:rPr>
          <w:lang w:val="ru-RU"/>
        </w:rPr>
        <w:t>тыс.</w:t>
      </w:r>
      <w:r>
        <w:t> </w:t>
      </w:r>
      <w:r w:rsidRPr="00155F2C">
        <w:rPr>
          <w:lang w:val="ru-RU"/>
        </w:rPr>
        <w:t>человек и осуществляющие предпринимательскую деятельность;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жилое помещение</w:t>
      </w:r>
      <w:r>
        <w:t> </w:t>
      </w:r>
      <w:r w:rsidRPr="00155F2C">
        <w:rPr>
          <w:lang w:val="ru-RU"/>
        </w:rPr>
        <w:t>– одноквартирный жилой дом, квартира в многоквартирном или блокированном жилом доме;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члены семьи гражданина</w:t>
      </w:r>
      <w:r>
        <w:t> </w:t>
      </w:r>
      <w:r w:rsidRPr="00155F2C">
        <w:rPr>
          <w:lang w:val="ru-RU"/>
        </w:rPr>
        <w:t xml:space="preserve">– супруг, супруга, несовершеннолетние дети, дети в возрасте до 23 лет, не вступившие в брак и проживающие совместно с гражданином и (или) его супругом (супругой), включая получающих профессионально-техническое, среднее специальное, высшее, научно-ориентированное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призыву, за которыми в соответствии с законодательством сохраняется право владения и пользования занимаемыми гражданином и (или) его супругом (супругой) жилыми помещениями, а также не вступившие в брак нетрудоспособные дети в возрасте старше 23 лет, являющиеся инвалидами </w:t>
      </w:r>
      <w:r>
        <w:t>I</w:t>
      </w:r>
      <w:r w:rsidRPr="00155F2C">
        <w:rPr>
          <w:lang w:val="ru-RU"/>
        </w:rPr>
        <w:t xml:space="preserve"> или </w:t>
      </w:r>
      <w:r>
        <w:t>II</w:t>
      </w:r>
      <w:r w:rsidRPr="00155F2C">
        <w:rPr>
          <w:lang w:val="ru-RU"/>
        </w:rPr>
        <w:t xml:space="preserve"> группы, нуждающимися в постоянном постороннем уходе или посторонней помощи, проживающие совместно с гражданином и (или) его супругом (супругой) и не имеющие в собственности жилых помещений (общей площади жилых помещений, приходящейся на долю в праве общей собственности на жилые помещения), расположенных в том числе в иных населенных пунктах Республики Беларусь;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lastRenderedPageBreak/>
        <w:t>1.3.</w:t>
      </w:r>
      <w:r>
        <w:t> </w:t>
      </w:r>
      <w:r w:rsidRPr="00155F2C">
        <w:rPr>
          <w:lang w:val="ru-RU"/>
        </w:rPr>
        <w:t>граждане включаются в списки на получение льготных кредитов с соблюдением очередности исходя из даты подачи ими заявлений в пределах средств, направляемых на цели льготного кредитования на соответствующий год с учетом принятых открытым акционерным обществом «Сберегательный банк «Беларусбанк» обязательств по заключенным кредитным договорам на предоставление льготных кредитов (далее</w:t>
      </w:r>
      <w:r>
        <w:t> </w:t>
      </w:r>
      <w:r w:rsidRPr="00155F2C">
        <w:rPr>
          <w:lang w:val="ru-RU"/>
        </w:rPr>
        <w:t>– кредитные договоры). Утвержденные списки с перечнем затрат на выполнение работ, предусмотренных настоящим Указом, представляются райисполкомами в открытое акционерное общество «Сберегательный банк «Беларусбанк» не позднее 15 дней со дня их утверждения. Данный перечень подготавливается райисполкомами на основании представленной гражданами проектно-сметной документации на выполнение работ, предусмотренных настоящим Указом. Кредитные договоры заключаются с гражданами в течение трех месяцев со дня утверждения райисполкомами списков на получение льготных кредитов.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Ответственность за незаконное включение граждан в списки на получение льготных кредитов, одноразовость использования льготных кредитов в соответствии с настоящим Указом возлагается на райисполкомы, контроль за правильностью включения граждан в эти списки</w:t>
      </w:r>
      <w:r>
        <w:t> </w:t>
      </w:r>
      <w:r w:rsidRPr="00155F2C">
        <w:rPr>
          <w:lang w:val="ru-RU"/>
        </w:rPr>
        <w:t>– на соответствующие облисполкомы;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1.4.</w:t>
      </w:r>
      <w:r>
        <w:t> </w:t>
      </w:r>
      <w:r w:rsidRPr="00155F2C">
        <w:rPr>
          <w:lang w:val="ru-RU"/>
        </w:rPr>
        <w:t>максимальный размер льготного кредита</w:t>
      </w:r>
      <w:r>
        <w:t> </w:t>
      </w:r>
      <w:r w:rsidRPr="00155F2C">
        <w:rPr>
          <w:lang w:val="ru-RU"/>
        </w:rPr>
        <w:t>– 90 процентов стоимости затрат на капитальный ремонт и реконструкцию жилого помещения, строительство инженерных сетей, возведение хозяйственных помещений и построек, определенных проектно-сметной документацией, но не должен превышать трехсоткратного размера базовой величины, действующей на день включения гражданина в установленном порядке в список для льготного кредитования.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Льготный кредит в пределах указанного максимального размера может предоставляться гражданину на капитальный ремонт и реконструкцию жилого помещения, в котором он проживает, строительство инженерных сетей к этому помещению, возведение хозяйственных помещений и построек, или на отдельные виды работ по капитальному ремонту и реконструкции жилого помещения, строительству инженерных сетей, или только на возведение хозяйственных помещений и построек.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Право на получение льготного кредита в соответствии с подпунктом 1.1 настоящего пункта гражданином может быть использовано один раз. В</w:t>
      </w:r>
      <w:r>
        <w:t> </w:t>
      </w:r>
      <w:r w:rsidRPr="00155F2C">
        <w:rPr>
          <w:lang w:val="ru-RU"/>
        </w:rPr>
        <w:t>отношении жилого помещения льготный кредит может быть предоставлен в соответствии с подпунктом 1.1 настоящего пункта только один раз;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1.5.</w:t>
      </w:r>
      <w:r>
        <w:t> </w:t>
      </w:r>
      <w:r w:rsidRPr="00155F2C">
        <w:rPr>
          <w:lang w:val="ru-RU"/>
        </w:rPr>
        <w:t>максимальный срок, на который предоставляется льготный кредит, не должен превышать 10 лет. Процентная ставка за пользование таким кредитом</w:t>
      </w:r>
      <w:r>
        <w:t> </w:t>
      </w:r>
      <w:r w:rsidRPr="00155F2C">
        <w:rPr>
          <w:lang w:val="ru-RU"/>
        </w:rPr>
        <w:t>– 3 процента годовых;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1.6.</w:t>
      </w:r>
      <w:r>
        <w:t> </w:t>
      </w:r>
      <w:r w:rsidRPr="00155F2C">
        <w:rPr>
          <w:lang w:val="ru-RU"/>
        </w:rPr>
        <w:t>погашение льготных кредитов и выплата процентов за пользование ими осуществляются гражданами в равных долях в течение всего периода их погашения, начиная со следующего месяца после завершения работ по капитальному ремонту и реконструкции жилых помещений, строительству инженерных сетей, возведению хозяйственных помещений и построек, но не позднее одного года после получения первой части льготного кредита;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1.7.</w:t>
      </w:r>
      <w:r>
        <w:t> </w:t>
      </w:r>
      <w:r w:rsidRPr="00155F2C">
        <w:rPr>
          <w:lang w:val="ru-RU"/>
        </w:rPr>
        <w:t>перевод долга по полученному льготному кредиту допускается только на члена семьи кредитополучателя;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1.8.</w:t>
      </w:r>
      <w:r>
        <w:t> </w:t>
      </w:r>
      <w:r w:rsidRPr="00155F2C">
        <w:rPr>
          <w:lang w:val="ru-RU"/>
        </w:rPr>
        <w:t>отчуждение жилых помещений, их частей (если осуществлен раздел жилого помещения), а также долей в праве собственности на жилые помещения, на капитальный ремонт, реконструкцию, строительство инженерных сетей, возведение хозяйственных помещений, построек которых предоставлен льготный кредит в соответствии с настоящим Указом, путем продажи, дарения или мены до полного его погашения не допускается;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1.9.</w:t>
      </w:r>
      <w:r>
        <w:t> </w:t>
      </w:r>
      <w:r w:rsidRPr="00155F2C">
        <w:rPr>
          <w:lang w:val="ru-RU"/>
        </w:rPr>
        <w:t xml:space="preserve">распределение кредитных ресурсов по областям в зависимости от потребности в льготных кредитах отдельных категорий граждан, имеющих право на получение таких кредитов в соответствии с настоящим Указом, осуществляется открытым акционерным </w:t>
      </w:r>
      <w:r w:rsidRPr="00155F2C">
        <w:rPr>
          <w:lang w:val="ru-RU"/>
        </w:rPr>
        <w:lastRenderedPageBreak/>
        <w:t>обществом «Сберегательный банк «Беларусбанк» по согласованию с Советом Министров Республики Беларусь;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1.10.</w:t>
      </w:r>
      <w:r>
        <w:t> </w:t>
      </w:r>
      <w:r w:rsidRPr="00155F2C">
        <w:rPr>
          <w:lang w:val="ru-RU"/>
        </w:rPr>
        <w:t>компенсация открытому акционерному обществу «Сберегательный банк «</w:t>
      </w:r>
      <w:proofErr w:type="spellStart"/>
      <w:r w:rsidRPr="00155F2C">
        <w:rPr>
          <w:lang w:val="ru-RU"/>
        </w:rPr>
        <w:t>Беларусбанк</w:t>
      </w:r>
      <w:proofErr w:type="spellEnd"/>
      <w:r w:rsidRPr="00155F2C">
        <w:rPr>
          <w:lang w:val="ru-RU"/>
        </w:rPr>
        <w:t>» потерь за период пользования гражданами льготными кредитами осуществляется до начала срока уплаты процентов по этим кредитам</w:t>
      </w:r>
      <w:r>
        <w:t> </w:t>
      </w:r>
      <w:r w:rsidRPr="00155F2C">
        <w:rPr>
          <w:lang w:val="ru-RU"/>
        </w:rPr>
        <w:t>– в размере ставки рефинансирования Национального банка, сложившейся в отчетном периоде, увеличенной на маржу, которая составляет 3</w:t>
      </w:r>
      <w:r>
        <w:t> </w:t>
      </w:r>
      <w:r w:rsidRPr="00155F2C">
        <w:rPr>
          <w:lang w:val="ru-RU"/>
        </w:rPr>
        <w:t>процента годовых, а после наступления срока уплаты процентов по ним</w:t>
      </w:r>
      <w:r>
        <w:t> </w:t>
      </w:r>
      <w:r w:rsidRPr="00155F2C">
        <w:rPr>
          <w:lang w:val="ru-RU"/>
        </w:rPr>
        <w:t>– как разница между ставкой рефинансирования Национального банка, сложившейся в отчетном периоде, увеличенной на маржу, которая составляет 3</w:t>
      </w:r>
      <w:r>
        <w:t> </w:t>
      </w:r>
      <w:r w:rsidRPr="00155F2C">
        <w:rPr>
          <w:lang w:val="ru-RU"/>
        </w:rPr>
        <w:t>процента годовых, и ставкой процентов по льготным кредитам;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1.11. утратил силу;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1.12. утратил силу;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1.13. утратил силу.</w:t>
      </w:r>
    </w:p>
    <w:p w:rsidR="00155F2C" w:rsidRPr="00155F2C" w:rsidRDefault="00155F2C">
      <w:pPr>
        <w:pStyle w:val="point"/>
        <w:rPr>
          <w:lang w:val="ru-RU"/>
        </w:rPr>
      </w:pPr>
      <w:r w:rsidRPr="00155F2C">
        <w:rPr>
          <w:lang w:val="ru-RU"/>
        </w:rPr>
        <w:t>2.</w:t>
      </w:r>
      <w:r>
        <w:t> </w:t>
      </w:r>
      <w:r w:rsidRPr="00155F2C">
        <w:rPr>
          <w:lang w:val="ru-RU"/>
        </w:rPr>
        <w:t>Облисполкомам, открытому акционерному обществу «Сберегательный банк «Беларусбанк» обеспечить контроль за целевым использованием кредитных ресурсов, выделяемых на капитальный ремонт и реконструкцию жилых помещений, строительство инженерных сетей, возведение хозяйственных помещений и построек.</w:t>
      </w:r>
    </w:p>
    <w:p w:rsidR="00155F2C" w:rsidRPr="00155F2C" w:rsidRDefault="00155F2C">
      <w:pPr>
        <w:pStyle w:val="point"/>
        <w:rPr>
          <w:lang w:val="ru-RU"/>
        </w:rPr>
      </w:pPr>
      <w:r w:rsidRPr="00155F2C">
        <w:rPr>
          <w:lang w:val="ru-RU"/>
        </w:rPr>
        <w:t>3.</w:t>
      </w:r>
      <w:r>
        <w:t> </w:t>
      </w:r>
      <w:r w:rsidRPr="00155F2C">
        <w:rPr>
          <w:lang w:val="ru-RU"/>
        </w:rPr>
        <w:t>Совету Министров Республики Беларусь: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3.1.</w:t>
      </w:r>
      <w:r>
        <w:t> </w:t>
      </w:r>
      <w:r w:rsidRPr="00155F2C">
        <w:rPr>
          <w:lang w:val="ru-RU"/>
        </w:rPr>
        <w:t>обеспечивать открытому акционерному обществу «Сберегательный банк «Беларусбанк» за счет средств республиканского бюджета ежемесячную компенсацию потерь, связанных с предоставлением льготных кредитов гражданам в соответствии с настоящим Указом;</w:t>
      </w:r>
    </w:p>
    <w:p w:rsidR="00155F2C" w:rsidRPr="00155F2C" w:rsidRDefault="00155F2C">
      <w:pPr>
        <w:pStyle w:val="underpoint"/>
        <w:rPr>
          <w:lang w:val="ru-RU"/>
        </w:rPr>
      </w:pPr>
      <w:r w:rsidRPr="00155F2C">
        <w:rPr>
          <w:lang w:val="ru-RU"/>
        </w:rPr>
        <w:t>3.2.</w:t>
      </w:r>
      <w:r>
        <w:t> </w:t>
      </w:r>
      <w:r w:rsidRPr="00155F2C">
        <w:rPr>
          <w:lang w:val="ru-RU"/>
        </w:rPr>
        <w:t>в трехмесячный срок: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обеспечить приведение актов законодательства в соответствие с настоящим Указом;</w:t>
      </w:r>
    </w:p>
    <w:p w:rsidR="00155F2C" w:rsidRPr="00155F2C" w:rsidRDefault="00155F2C">
      <w:pPr>
        <w:pStyle w:val="newncpi"/>
        <w:rPr>
          <w:lang w:val="ru-RU"/>
        </w:rPr>
      </w:pPr>
      <w:r w:rsidRPr="00155F2C">
        <w:rPr>
          <w:lang w:val="ru-RU"/>
        </w:rPr>
        <w:t>принять иные меры по реализации данного Указа.</w:t>
      </w:r>
    </w:p>
    <w:p w:rsidR="00155F2C" w:rsidRPr="00155F2C" w:rsidRDefault="00155F2C">
      <w:pPr>
        <w:pStyle w:val="point"/>
        <w:rPr>
          <w:lang w:val="ru-RU"/>
        </w:rPr>
      </w:pPr>
      <w:r w:rsidRPr="00155F2C">
        <w:rPr>
          <w:lang w:val="ru-RU"/>
        </w:rPr>
        <w:t>4.</w:t>
      </w:r>
      <w:r>
        <w:t> </w:t>
      </w:r>
      <w:r w:rsidRPr="00155F2C">
        <w:rPr>
          <w:lang w:val="ru-RU"/>
        </w:rPr>
        <w:t>Настоящий Указ вступает в силу с 1 марта 2006</w:t>
      </w:r>
      <w:r>
        <w:t> </w:t>
      </w:r>
      <w:r w:rsidRPr="00155F2C">
        <w:rPr>
          <w:lang w:val="ru-RU"/>
        </w:rPr>
        <w:t>г., за исключением подпункта 3.2 пункта 3 и настоящего пункта, вступающих в силу со дня официального опубликования этого Указа.</w:t>
      </w:r>
    </w:p>
    <w:p w:rsidR="00155F2C" w:rsidRPr="00155F2C" w:rsidRDefault="00155F2C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155F2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F2C" w:rsidRDefault="00155F2C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5F2C" w:rsidRDefault="00155F2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155F2C" w:rsidRDefault="00155F2C">
      <w:pPr>
        <w:pStyle w:val="newncpi0"/>
      </w:pPr>
      <w:r>
        <w:t> </w:t>
      </w:r>
    </w:p>
    <w:p w:rsidR="00CB0D1D" w:rsidRDefault="00CB0D1D"/>
    <w:sectPr w:rsidR="00CB0D1D" w:rsidSect="00155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D0" w:rsidRDefault="009B35D0" w:rsidP="00155F2C">
      <w:pPr>
        <w:spacing w:after="0" w:line="240" w:lineRule="auto"/>
      </w:pPr>
      <w:r>
        <w:separator/>
      </w:r>
    </w:p>
  </w:endnote>
  <w:endnote w:type="continuationSeparator" w:id="0">
    <w:p w:rsidR="009B35D0" w:rsidRDefault="009B35D0" w:rsidP="0015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2C" w:rsidRDefault="00155F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2C" w:rsidRDefault="00155F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155F2C" w:rsidRPr="00155F2C" w:rsidTr="00155F2C">
      <w:tc>
        <w:tcPr>
          <w:tcW w:w="1800" w:type="dxa"/>
          <w:shd w:val="clear" w:color="auto" w:fill="auto"/>
          <w:vAlign w:val="center"/>
        </w:tcPr>
        <w:p w:rsidR="00155F2C" w:rsidRDefault="00155F2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155F2C" w:rsidRPr="00155F2C" w:rsidRDefault="00155F2C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55F2C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155F2C" w:rsidRPr="00155F2C" w:rsidRDefault="00155F2C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55F2C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15.06.2023</w:t>
          </w:r>
        </w:p>
        <w:p w:rsidR="00155F2C" w:rsidRPr="00155F2C" w:rsidRDefault="00155F2C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55F2C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155F2C" w:rsidRPr="00155F2C" w:rsidRDefault="00155F2C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D0" w:rsidRDefault="009B35D0" w:rsidP="00155F2C">
      <w:pPr>
        <w:spacing w:after="0" w:line="240" w:lineRule="auto"/>
      </w:pPr>
      <w:r>
        <w:separator/>
      </w:r>
    </w:p>
  </w:footnote>
  <w:footnote w:type="continuationSeparator" w:id="0">
    <w:p w:rsidR="009B35D0" w:rsidRDefault="009B35D0" w:rsidP="0015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2C" w:rsidRDefault="00155F2C" w:rsidP="001808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55F2C" w:rsidRDefault="00155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2C" w:rsidRPr="00155F2C" w:rsidRDefault="00155F2C" w:rsidP="0018082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55F2C">
      <w:rPr>
        <w:rStyle w:val="a7"/>
        <w:rFonts w:ascii="Times New Roman" w:hAnsi="Times New Roman" w:cs="Times New Roman"/>
        <w:sz w:val="24"/>
      </w:rPr>
      <w:fldChar w:fldCharType="begin"/>
    </w:r>
    <w:r w:rsidRPr="00155F2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55F2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155F2C">
      <w:rPr>
        <w:rStyle w:val="a7"/>
        <w:rFonts w:ascii="Times New Roman" w:hAnsi="Times New Roman" w:cs="Times New Roman"/>
        <w:sz w:val="24"/>
      </w:rPr>
      <w:fldChar w:fldCharType="end"/>
    </w:r>
  </w:p>
  <w:p w:rsidR="00155F2C" w:rsidRPr="00155F2C" w:rsidRDefault="00155F2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2C" w:rsidRDefault="00155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2C"/>
    <w:rsid w:val="00155F2C"/>
    <w:rsid w:val="009B35D0"/>
    <w:rsid w:val="00C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6B52-9628-40F3-8DE3-7ACC617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55F2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155F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55F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155F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55F2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155F2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55F2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155F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55F2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55F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5F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5F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5F2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55F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5F2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55F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F2C"/>
  </w:style>
  <w:style w:type="paragraph" w:styleId="a5">
    <w:name w:val="footer"/>
    <w:basedOn w:val="a"/>
    <w:link w:val="a6"/>
    <w:uiPriority w:val="99"/>
    <w:unhideWhenUsed/>
    <w:rsid w:val="00155F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F2C"/>
  </w:style>
  <w:style w:type="character" w:styleId="a7">
    <w:name w:val="page number"/>
    <w:basedOn w:val="a0"/>
    <w:uiPriority w:val="99"/>
    <w:semiHidden/>
    <w:unhideWhenUsed/>
    <w:rsid w:val="00155F2C"/>
  </w:style>
  <w:style w:type="table" w:styleId="a8">
    <w:name w:val="Table Grid"/>
    <w:basedOn w:val="a1"/>
    <w:uiPriority w:val="39"/>
    <w:rsid w:val="0015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10193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2023-06-15T05:57:00Z</dcterms:created>
  <dcterms:modified xsi:type="dcterms:W3CDTF">2023-06-15T05:57:00Z</dcterms:modified>
</cp:coreProperties>
</file>